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08" w:rsidRDefault="00BC5708" w:rsidP="00BC5708">
      <w:pPr>
        <w:pStyle w:val="Title"/>
      </w:pPr>
      <w:bookmarkStart w:id="0" w:name="_Toc514806307"/>
      <w:r w:rsidRPr="00BC5708">
        <w:t>Techninė specifikacija</w:t>
      </w:r>
      <w:bookmarkEnd w:id="0"/>
    </w:p>
    <w:p w:rsidR="00147CF4" w:rsidRPr="00147CF4" w:rsidRDefault="00147CF4" w:rsidP="00147CF4"/>
    <w:p w:rsidR="00BC5708" w:rsidRPr="00BC5708" w:rsidRDefault="00BC5708" w:rsidP="00BC5708">
      <w:pPr>
        <w:rPr>
          <w:rFonts w:ascii="Times New Roman" w:hAnsi="Times New Roman"/>
        </w:rPr>
      </w:pPr>
      <w:r w:rsidRPr="00BC5708">
        <w:rPr>
          <w:rFonts w:ascii="Times New Roman" w:hAnsi="Times New Roman"/>
          <w:highlight w:val="yellow"/>
        </w:rPr>
        <w:t>Šiame skyriuje reikia suformuluoti reikalavimus techninės specifikacijos (IT sprendimo aprašymo) struktūrai, būtiniems ir rekomenduojamiems skyriams, vadovaujantis teisės aktų reikalavimais ir gerosiomis praktikomis. Žr. prisegtą teisės aktų reikalavimų ir rekomendacijų apžvalgą ir specifikacijos šablono pavyzdį (nepilnai atitinka teisės aktų reikalavimus ir rekomendacijas).</w:t>
      </w:r>
    </w:p>
    <w:p w:rsidR="00BC5708" w:rsidRDefault="00BC5708" w:rsidP="00BC5708">
      <w:pPr>
        <w:pStyle w:val="Heading1"/>
      </w:pPr>
      <w:r w:rsidRPr="00BC5708">
        <w:t>Pirkimo objektas</w:t>
      </w:r>
    </w:p>
    <w:p w:rsidR="00147CF4" w:rsidRPr="00147CF4" w:rsidRDefault="00147CF4" w:rsidP="00147CF4"/>
    <w:p w:rsidR="00BC5708" w:rsidRPr="00BC5708" w:rsidRDefault="00BC5708" w:rsidP="00BC5708">
      <w:pPr>
        <w:numPr>
          <w:ilvl w:val="0"/>
          <w:numId w:val="2"/>
        </w:numPr>
        <w:contextualSpacing/>
        <w:rPr>
          <w:rFonts w:ascii="Times New Roman" w:hAnsi="Times New Roman"/>
          <w:highlight w:val="yellow"/>
        </w:rPr>
      </w:pPr>
      <w:r w:rsidRPr="00BC5708">
        <w:rPr>
          <w:rFonts w:ascii="Times New Roman" w:hAnsi="Times New Roman"/>
          <w:highlight w:val="yellow"/>
        </w:rPr>
        <w:t>Informacinės sistemos sukūrimas/modernizavimas/plėtra/priežiūra</w:t>
      </w:r>
    </w:p>
    <w:p w:rsidR="00BC5708" w:rsidRPr="00BC5708" w:rsidRDefault="00BC5708" w:rsidP="00BC5708">
      <w:pPr>
        <w:numPr>
          <w:ilvl w:val="0"/>
          <w:numId w:val="2"/>
        </w:numPr>
        <w:contextualSpacing/>
        <w:rPr>
          <w:rFonts w:ascii="Times New Roman" w:hAnsi="Times New Roman"/>
          <w:highlight w:val="yellow"/>
        </w:rPr>
      </w:pPr>
      <w:r w:rsidRPr="00BC5708">
        <w:rPr>
          <w:rFonts w:ascii="Times New Roman" w:hAnsi="Times New Roman"/>
          <w:highlight w:val="yellow"/>
        </w:rPr>
        <w:t>Papildomos vystymo paslaugos</w:t>
      </w:r>
    </w:p>
    <w:p w:rsidR="00BC5708" w:rsidRDefault="00BC5708" w:rsidP="00BC5708">
      <w:pPr>
        <w:numPr>
          <w:ilvl w:val="0"/>
          <w:numId w:val="2"/>
        </w:numPr>
        <w:contextualSpacing/>
        <w:rPr>
          <w:rFonts w:ascii="Times New Roman" w:hAnsi="Times New Roman"/>
          <w:highlight w:val="yellow"/>
        </w:rPr>
      </w:pPr>
      <w:r w:rsidRPr="00BC5708">
        <w:rPr>
          <w:rFonts w:ascii="Times New Roman" w:hAnsi="Times New Roman"/>
          <w:highlight w:val="yellow"/>
        </w:rPr>
        <w:t>Priežiūros paslaugos</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Pirkimo tikslai ir prioritetai</w:t>
      </w:r>
    </w:p>
    <w:p w:rsidR="00147CF4" w:rsidRPr="00147CF4" w:rsidRDefault="00147CF4" w:rsidP="00147CF4"/>
    <w:p w:rsidR="00BC5708" w:rsidRPr="00BC5708" w:rsidRDefault="00BC5708" w:rsidP="00BC5708">
      <w:pPr>
        <w:numPr>
          <w:ilvl w:val="0"/>
          <w:numId w:val="1"/>
        </w:numPr>
        <w:contextualSpacing/>
        <w:rPr>
          <w:rFonts w:ascii="Calibri" w:hAnsi="Calibri" w:cs="Calibri"/>
          <w:highlight w:val="yellow"/>
        </w:rPr>
      </w:pPr>
      <w:r w:rsidRPr="00BC5708">
        <w:rPr>
          <w:rFonts w:ascii="Times New Roman" w:hAnsi="Times New Roman"/>
          <w:highlight w:val="yellow"/>
        </w:rPr>
        <w:t xml:space="preserve">patogus ir greitas paslaugos gavėjo </w:t>
      </w:r>
      <w:r w:rsidRPr="00BC5708">
        <w:rPr>
          <w:rFonts w:ascii="Times New Roman" w:hAnsi="Times New Roman"/>
          <w:b/>
          <w:bCs/>
          <w:highlight w:val="yellow"/>
        </w:rPr>
        <w:t>poreikių patenkinimas</w:t>
      </w:r>
    </w:p>
    <w:p w:rsidR="00BC5708" w:rsidRPr="00BC5708" w:rsidRDefault="00BC5708" w:rsidP="00BC5708">
      <w:pPr>
        <w:numPr>
          <w:ilvl w:val="0"/>
          <w:numId w:val="1"/>
        </w:numPr>
        <w:contextualSpacing/>
        <w:rPr>
          <w:rFonts w:ascii="Calibri" w:hAnsi="Calibri" w:cs="Calibri"/>
          <w:highlight w:val="yellow"/>
        </w:rPr>
      </w:pPr>
      <w:r w:rsidRPr="00BC5708">
        <w:rPr>
          <w:rFonts w:ascii="Times New Roman" w:hAnsi="Times New Roman"/>
          <w:highlight w:val="yellow"/>
        </w:rPr>
        <w:t xml:space="preserve">paslaugos gavėjo </w:t>
      </w:r>
      <w:r w:rsidRPr="00BC5708">
        <w:rPr>
          <w:rFonts w:ascii="Times New Roman" w:hAnsi="Times New Roman"/>
          <w:b/>
          <w:highlight w:val="yellow"/>
        </w:rPr>
        <w:t>laiko</w:t>
      </w:r>
      <w:r w:rsidRPr="00BC5708">
        <w:rPr>
          <w:rFonts w:ascii="Times New Roman" w:hAnsi="Times New Roman"/>
          <w:highlight w:val="yellow"/>
        </w:rPr>
        <w:t xml:space="preserve">, skiriamo paslaugai, </w:t>
      </w:r>
      <w:r w:rsidRPr="00BC5708">
        <w:rPr>
          <w:rFonts w:ascii="Times New Roman" w:hAnsi="Times New Roman"/>
          <w:b/>
          <w:bCs/>
          <w:highlight w:val="yellow"/>
        </w:rPr>
        <w:t>sutrumpinimas, kontaktų su institucijomis sumažinimas</w:t>
      </w:r>
    </w:p>
    <w:p w:rsidR="00BC5708" w:rsidRPr="00BC5708" w:rsidRDefault="00BC5708" w:rsidP="00BC5708">
      <w:pPr>
        <w:numPr>
          <w:ilvl w:val="0"/>
          <w:numId w:val="1"/>
        </w:numPr>
        <w:contextualSpacing/>
        <w:rPr>
          <w:rFonts w:ascii="Calibri" w:hAnsi="Calibri" w:cs="Calibri"/>
          <w:highlight w:val="yellow"/>
        </w:rPr>
      </w:pPr>
      <w:r w:rsidRPr="00BC5708">
        <w:rPr>
          <w:rFonts w:ascii="Times New Roman" w:hAnsi="Times New Roman"/>
          <w:highlight w:val="yellow"/>
        </w:rPr>
        <w:t xml:space="preserve">administracinės </w:t>
      </w:r>
      <w:r w:rsidRPr="00BC5708">
        <w:rPr>
          <w:rFonts w:ascii="Times New Roman" w:hAnsi="Times New Roman"/>
          <w:b/>
          <w:bCs/>
          <w:highlight w:val="yellow"/>
        </w:rPr>
        <w:t>naštos sumažinimas</w:t>
      </w:r>
    </w:p>
    <w:p w:rsidR="00BC5708" w:rsidRPr="00BC5708" w:rsidRDefault="00BC5708" w:rsidP="00BC5708">
      <w:pPr>
        <w:numPr>
          <w:ilvl w:val="0"/>
          <w:numId w:val="1"/>
        </w:numPr>
        <w:contextualSpacing/>
        <w:rPr>
          <w:rFonts w:ascii="Calibri" w:hAnsi="Calibri" w:cs="Calibri"/>
          <w:highlight w:val="yellow"/>
        </w:rPr>
      </w:pPr>
      <w:r w:rsidRPr="00BC5708">
        <w:rPr>
          <w:rFonts w:ascii="Times New Roman" w:hAnsi="Times New Roman"/>
          <w:b/>
          <w:bCs/>
          <w:highlight w:val="yellow"/>
        </w:rPr>
        <w:t xml:space="preserve">institucijų bendradarbiavimas </w:t>
      </w:r>
      <w:r w:rsidRPr="00BC5708">
        <w:rPr>
          <w:rFonts w:ascii="Times New Roman" w:hAnsi="Times New Roman"/>
          <w:highlight w:val="yellow"/>
        </w:rPr>
        <w:t>siekiant bendro tikslo –sukurti paslaugos gavėjui patogią sudėtinę elektroninę paslaugą</w:t>
      </w:r>
    </w:p>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 xml:space="preserve">Teikiamų ar turimų </w:t>
      </w:r>
      <w:r w:rsidRPr="00BC5708">
        <w:rPr>
          <w:rFonts w:ascii="Times New Roman" w:hAnsi="Times New Roman"/>
          <w:b/>
          <w:bCs/>
          <w:highlight w:val="yellow"/>
        </w:rPr>
        <w:t>duomenų pakartotinis panaudojimas</w:t>
      </w:r>
    </w:p>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b/>
          <w:highlight w:val="yellow"/>
        </w:rPr>
        <w:t>Neautomatizuotų</w:t>
      </w:r>
      <w:r w:rsidRPr="00BC5708">
        <w:rPr>
          <w:rFonts w:ascii="Times New Roman" w:hAnsi="Times New Roman"/>
          <w:highlight w:val="yellow"/>
        </w:rPr>
        <w:t xml:space="preserve"> proceso veiksmų </w:t>
      </w:r>
      <w:r w:rsidRPr="00BC5708">
        <w:rPr>
          <w:rFonts w:ascii="Times New Roman" w:hAnsi="Times New Roman"/>
          <w:b/>
          <w:highlight w:val="yellow"/>
        </w:rPr>
        <w:t>sumažinimas</w:t>
      </w:r>
      <w:r w:rsidRPr="00BC5708">
        <w:rPr>
          <w:rFonts w:ascii="Times New Roman" w:hAnsi="Times New Roman"/>
          <w:highlight w:val="yellow"/>
        </w:rPr>
        <w:t>;</w:t>
      </w:r>
    </w:p>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b/>
          <w:highlight w:val="yellow"/>
        </w:rPr>
        <w:t>Pildomų</w:t>
      </w:r>
      <w:r w:rsidRPr="00BC5708">
        <w:rPr>
          <w:rFonts w:ascii="Times New Roman" w:hAnsi="Times New Roman"/>
          <w:highlight w:val="yellow"/>
        </w:rPr>
        <w:t xml:space="preserve"> formų skaičiaus </w:t>
      </w:r>
      <w:r w:rsidRPr="00BC5708">
        <w:rPr>
          <w:rFonts w:ascii="Times New Roman" w:hAnsi="Times New Roman"/>
          <w:b/>
          <w:highlight w:val="yellow"/>
        </w:rPr>
        <w:t>sumažinimas</w:t>
      </w:r>
      <w:r w:rsidRPr="00BC5708">
        <w:rPr>
          <w:rFonts w:ascii="Times New Roman" w:hAnsi="Times New Roman"/>
          <w:highlight w:val="yellow"/>
        </w:rPr>
        <w:t>;</w:t>
      </w:r>
    </w:p>
    <w:p w:rsid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 xml:space="preserve">Galimybė kurti </w:t>
      </w:r>
      <w:proofErr w:type="spellStart"/>
      <w:r w:rsidRPr="00BC5708">
        <w:rPr>
          <w:rFonts w:ascii="Times New Roman" w:hAnsi="Times New Roman"/>
          <w:b/>
          <w:highlight w:val="yellow"/>
        </w:rPr>
        <w:t>savaveik</w:t>
      </w:r>
      <w:r w:rsidR="00147CF4">
        <w:rPr>
          <w:rFonts w:ascii="Times New Roman" w:hAnsi="Times New Roman"/>
          <w:b/>
          <w:highlight w:val="yellow"/>
        </w:rPr>
        <w:t>ę</w:t>
      </w:r>
      <w:proofErr w:type="spellEnd"/>
      <w:r w:rsidRPr="00BC5708">
        <w:rPr>
          <w:rFonts w:ascii="Times New Roman" w:hAnsi="Times New Roman"/>
          <w:highlight w:val="yellow"/>
        </w:rPr>
        <w:t xml:space="preserve"> elektroninę paslaugą.</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Veiklos modelis</w:t>
      </w:r>
    </w:p>
    <w:p w:rsidR="00147CF4" w:rsidRPr="00147CF4" w:rsidRDefault="00147CF4" w:rsidP="00147CF4"/>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Suinteresuotų šalių sąrašas</w:t>
      </w:r>
    </w:p>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Veiklos procesai (UML, BPMN...)</w:t>
      </w:r>
    </w:p>
    <w:p w:rsidR="00BC5708" w:rsidRPr="00BC5708" w:rsidRDefault="00BC5708" w:rsidP="00BC5708">
      <w:pPr>
        <w:numPr>
          <w:ilvl w:val="1"/>
          <w:numId w:val="1"/>
        </w:numPr>
        <w:contextualSpacing/>
        <w:rPr>
          <w:rFonts w:ascii="Times New Roman" w:hAnsi="Times New Roman"/>
          <w:highlight w:val="yellow"/>
        </w:rPr>
      </w:pPr>
      <w:r w:rsidRPr="00BC5708">
        <w:rPr>
          <w:rFonts w:ascii="Times New Roman" w:hAnsi="Times New Roman"/>
          <w:highlight w:val="yellow"/>
        </w:rPr>
        <w:t xml:space="preserve">naudojimo atvejų schemos, </w:t>
      </w:r>
    </w:p>
    <w:p w:rsidR="00BC5708" w:rsidRPr="00BC5708" w:rsidRDefault="00BC5708" w:rsidP="00BC5708">
      <w:pPr>
        <w:numPr>
          <w:ilvl w:val="1"/>
          <w:numId w:val="1"/>
        </w:numPr>
        <w:contextualSpacing/>
        <w:rPr>
          <w:rFonts w:ascii="Times New Roman" w:hAnsi="Times New Roman"/>
          <w:highlight w:val="yellow"/>
        </w:rPr>
      </w:pPr>
      <w:r w:rsidRPr="00BC5708">
        <w:rPr>
          <w:rFonts w:ascii="Times New Roman" w:hAnsi="Times New Roman"/>
          <w:highlight w:val="yellow"/>
        </w:rPr>
        <w:t>Duomenų įvedimo formų pildymo taisyklės</w:t>
      </w:r>
    </w:p>
    <w:p w:rsidR="00BC5708" w:rsidRP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Paslaugų teikimo/procesų principai, ekosistema</w:t>
      </w:r>
    </w:p>
    <w:p w:rsidR="00BC5708" w:rsidRDefault="00BC5708" w:rsidP="00BC5708">
      <w:pPr>
        <w:numPr>
          <w:ilvl w:val="0"/>
          <w:numId w:val="1"/>
        </w:numPr>
        <w:contextualSpacing/>
        <w:rPr>
          <w:rFonts w:ascii="Times New Roman" w:hAnsi="Times New Roman"/>
          <w:highlight w:val="yellow"/>
        </w:rPr>
      </w:pPr>
      <w:r w:rsidRPr="00BC5708">
        <w:rPr>
          <w:rFonts w:ascii="Times New Roman" w:hAnsi="Times New Roman"/>
          <w:highlight w:val="yellow"/>
        </w:rPr>
        <w:t>Reglamentuojantys teisės aktai</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Naudotojai</w:t>
      </w:r>
    </w:p>
    <w:p w:rsidR="00147CF4" w:rsidRPr="00147CF4" w:rsidRDefault="00147CF4" w:rsidP="00147CF4"/>
    <w:p w:rsidR="00BC5708" w:rsidRPr="00BC5708" w:rsidRDefault="00BC5708" w:rsidP="00BC5708">
      <w:pPr>
        <w:numPr>
          <w:ilvl w:val="0"/>
          <w:numId w:val="3"/>
        </w:numPr>
        <w:contextualSpacing/>
        <w:rPr>
          <w:rFonts w:ascii="Times New Roman" w:hAnsi="Times New Roman"/>
          <w:highlight w:val="yellow"/>
        </w:rPr>
      </w:pPr>
      <w:r w:rsidRPr="00BC5708">
        <w:rPr>
          <w:rFonts w:ascii="Times New Roman" w:hAnsi="Times New Roman"/>
          <w:highlight w:val="yellow"/>
        </w:rPr>
        <w:t>Tikslinės naudotojų grupės</w:t>
      </w:r>
    </w:p>
    <w:p w:rsidR="00BC5708" w:rsidRPr="00BC5708" w:rsidRDefault="00BC5708" w:rsidP="00BC5708">
      <w:pPr>
        <w:numPr>
          <w:ilvl w:val="0"/>
          <w:numId w:val="3"/>
        </w:numPr>
        <w:contextualSpacing/>
        <w:rPr>
          <w:rFonts w:ascii="Times New Roman" w:hAnsi="Times New Roman"/>
          <w:highlight w:val="yellow"/>
        </w:rPr>
      </w:pPr>
      <w:r w:rsidRPr="00BC5708">
        <w:rPr>
          <w:rFonts w:ascii="Times New Roman" w:hAnsi="Times New Roman"/>
          <w:highlight w:val="yellow"/>
        </w:rPr>
        <w:t>Naudotojų portretai</w:t>
      </w:r>
    </w:p>
    <w:p w:rsidR="00BC5708" w:rsidRDefault="00BC5708" w:rsidP="00BC5708">
      <w:pPr>
        <w:numPr>
          <w:ilvl w:val="0"/>
          <w:numId w:val="3"/>
        </w:numPr>
        <w:contextualSpacing/>
        <w:rPr>
          <w:rFonts w:ascii="Times New Roman" w:hAnsi="Times New Roman"/>
          <w:highlight w:val="yellow"/>
        </w:rPr>
      </w:pPr>
      <w:r w:rsidRPr="00BC5708">
        <w:rPr>
          <w:rFonts w:ascii="Times New Roman" w:hAnsi="Times New Roman"/>
          <w:highlight w:val="yellow"/>
        </w:rPr>
        <w:t>Naudotojo kelionė, naudojamos priemonės</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Kiekybiniai parametrai ir srautai</w:t>
      </w:r>
    </w:p>
    <w:p w:rsidR="00147CF4" w:rsidRPr="00147CF4" w:rsidRDefault="00147CF4" w:rsidP="00147CF4"/>
    <w:p w:rsidR="00BC5708" w:rsidRPr="00BC5708" w:rsidRDefault="00BC5708" w:rsidP="00BC5708">
      <w:pPr>
        <w:numPr>
          <w:ilvl w:val="0"/>
          <w:numId w:val="4"/>
        </w:numPr>
        <w:contextualSpacing/>
        <w:rPr>
          <w:rFonts w:ascii="Times New Roman" w:hAnsi="Times New Roman"/>
          <w:highlight w:val="yellow"/>
        </w:rPr>
      </w:pPr>
      <w:r w:rsidRPr="00BC5708">
        <w:rPr>
          <w:rFonts w:ascii="Times New Roman" w:hAnsi="Times New Roman"/>
          <w:highlight w:val="yellow"/>
        </w:rPr>
        <w:t>Naudotojų kiekiai pagal kategorijas – vidutinis vienu metu dirbančių, piko metu</w:t>
      </w:r>
    </w:p>
    <w:p w:rsidR="00BC5708" w:rsidRPr="00BC5708" w:rsidRDefault="00BC5708" w:rsidP="00BC5708">
      <w:pPr>
        <w:numPr>
          <w:ilvl w:val="0"/>
          <w:numId w:val="4"/>
        </w:numPr>
        <w:contextualSpacing/>
        <w:rPr>
          <w:rFonts w:ascii="Times New Roman" w:hAnsi="Times New Roman"/>
          <w:highlight w:val="yellow"/>
        </w:rPr>
      </w:pPr>
      <w:r w:rsidRPr="00BC5708">
        <w:rPr>
          <w:rFonts w:ascii="Times New Roman" w:hAnsi="Times New Roman"/>
          <w:highlight w:val="yellow"/>
        </w:rPr>
        <w:t>Pagrindinių veiklos operacijų / transakcijų kiekiai – vidutiniai, piko metu</w:t>
      </w:r>
    </w:p>
    <w:p w:rsidR="00BC5708" w:rsidRPr="00147CF4" w:rsidRDefault="00BC5708" w:rsidP="00BC5708">
      <w:pPr>
        <w:numPr>
          <w:ilvl w:val="0"/>
          <w:numId w:val="4"/>
        </w:numPr>
        <w:contextualSpacing/>
        <w:rPr>
          <w:rFonts w:ascii="Times New Roman" w:hAnsi="Times New Roman"/>
        </w:rPr>
      </w:pPr>
      <w:r w:rsidRPr="00BC5708">
        <w:rPr>
          <w:rFonts w:ascii="Times New Roman" w:hAnsi="Times New Roman"/>
          <w:highlight w:val="yellow"/>
        </w:rPr>
        <w:t>Duomenų saugojimo terminas pagal pagrindines duomenų kategorijas</w:t>
      </w:r>
    </w:p>
    <w:p w:rsidR="00147CF4" w:rsidRPr="00BC5708" w:rsidRDefault="00147CF4" w:rsidP="00147CF4">
      <w:pPr>
        <w:contextualSpacing/>
        <w:rPr>
          <w:rFonts w:ascii="Times New Roman" w:hAnsi="Times New Roman"/>
        </w:rPr>
      </w:pPr>
    </w:p>
    <w:p w:rsidR="00BC5708" w:rsidRPr="00BC5708" w:rsidRDefault="00BC5708" w:rsidP="00BC5708">
      <w:pPr>
        <w:pStyle w:val="Heading1"/>
      </w:pPr>
      <w:r w:rsidRPr="00BC5708">
        <w:t>Apie esamą (-</w:t>
      </w:r>
      <w:proofErr w:type="spellStart"/>
      <w:r w:rsidRPr="00BC5708">
        <w:t>as</w:t>
      </w:r>
      <w:proofErr w:type="spellEnd"/>
      <w:r w:rsidRPr="00BC5708">
        <w:t>) informacinę (-ės) sistemą (-</w:t>
      </w:r>
      <w:proofErr w:type="spellStart"/>
      <w:r w:rsidRPr="00BC5708">
        <w:t>as</w:t>
      </w:r>
      <w:proofErr w:type="spellEnd"/>
      <w:r w:rsidRPr="00BC5708">
        <w:t>)</w:t>
      </w:r>
    </w:p>
    <w:p w:rsidR="00BC5708" w:rsidRPr="00BC5708" w:rsidRDefault="00BC5708" w:rsidP="00BC5708">
      <w:pPr>
        <w:rPr>
          <w:rFonts w:ascii="Times New Roman" w:hAnsi="Times New Roman"/>
        </w:rPr>
      </w:pPr>
      <w:r w:rsidRPr="00BC5708">
        <w:rPr>
          <w:rFonts w:ascii="Times New Roman" w:hAnsi="Times New Roman"/>
        </w:rPr>
        <w:t>Šis skyrius turi būti pildomas, jeigu perkamos esamos informacinės sistemos modernizavimo ar plėtros paslaugos</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Tikslūs vidutiniai ir piko metu parametrai, naudojamos infrastruktūros resursai</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Infrastruktūros architektūra - diegimo aplinkų schemos, serverių resursai ir apytiksliai apkrovimas, panaudojimas</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Realizavimo architektūra ir priemonės – posistemės, moduliai, lygiai, komponentai, gairės, bibliotekos, formatai, programavimo kalbos, svarbūs principai, standartinės programinės įrangos licencijos.</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Integracijų su kitomis informacinėmis sistemomis schema ir srautai</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Duomenų saugyklų architektūra ir duomenų struktūros</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Vartotojo instrukcija</w:t>
      </w:r>
    </w:p>
    <w:p w:rsidR="00BC5708" w:rsidRP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Administravimo instrukcija (?)</w:t>
      </w:r>
    </w:p>
    <w:p w:rsidR="00BC5708" w:rsidRDefault="00BC5708" w:rsidP="00BC5708">
      <w:pPr>
        <w:numPr>
          <w:ilvl w:val="0"/>
          <w:numId w:val="5"/>
        </w:numPr>
        <w:contextualSpacing/>
        <w:rPr>
          <w:rFonts w:ascii="Times New Roman" w:hAnsi="Times New Roman"/>
          <w:highlight w:val="yellow"/>
        </w:rPr>
      </w:pPr>
      <w:r w:rsidRPr="00BC5708">
        <w:rPr>
          <w:rFonts w:ascii="Times New Roman" w:hAnsi="Times New Roman"/>
          <w:highlight w:val="yellow"/>
        </w:rPr>
        <w:t>Programinis kodas (?)</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Funkciniai reikalavimai</w:t>
      </w:r>
    </w:p>
    <w:p w:rsidR="00147CF4" w:rsidRPr="00147CF4" w:rsidRDefault="00147CF4" w:rsidP="00147CF4"/>
    <w:p w:rsidR="00BC5708" w:rsidRPr="00BC5708" w:rsidRDefault="00BC5708" w:rsidP="00BC5708">
      <w:pPr>
        <w:numPr>
          <w:ilvl w:val="0"/>
          <w:numId w:val="7"/>
        </w:numPr>
        <w:contextualSpacing/>
        <w:rPr>
          <w:rFonts w:ascii="Times New Roman" w:hAnsi="Times New Roman"/>
          <w:highlight w:val="yellow"/>
        </w:rPr>
      </w:pPr>
      <w:r w:rsidRPr="00BC5708">
        <w:rPr>
          <w:rFonts w:ascii="Times New Roman" w:hAnsi="Times New Roman"/>
          <w:highlight w:val="yellow"/>
        </w:rPr>
        <w:t>Veiklos procesų patikslinimai</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Procesų išsišakojimai (alternatyvios eigos)</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Skirtingų naudotojų grupių ir administratorių funkcijos</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Scenarijai, panaudos atvejai</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Naudojamos duomenų esybės, struktūros</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Jei tinka, nuoroda į modernizuojamos/vystomos sistemos posistemes, modulius</w:t>
      </w:r>
    </w:p>
    <w:p w:rsidR="00BC5708" w:rsidRPr="00BC5708" w:rsidRDefault="00BC5708" w:rsidP="00BC5708">
      <w:pPr>
        <w:numPr>
          <w:ilvl w:val="0"/>
          <w:numId w:val="7"/>
        </w:numPr>
        <w:contextualSpacing/>
        <w:rPr>
          <w:rFonts w:ascii="Times New Roman" w:hAnsi="Times New Roman"/>
          <w:highlight w:val="yellow"/>
        </w:rPr>
      </w:pPr>
      <w:r w:rsidRPr="00BC5708">
        <w:rPr>
          <w:rFonts w:ascii="Times New Roman" w:hAnsi="Times New Roman"/>
          <w:highlight w:val="yellow"/>
        </w:rPr>
        <w:t>Integracija su kitomis informacinėmis sistemomis</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Srautų kryptys, formatai, priimtini realizacijos būdai</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Duomenų mainų struktūros</w:t>
      </w:r>
    </w:p>
    <w:p w:rsidR="00BC5708" w:rsidRPr="00BC5708" w:rsidRDefault="00BC5708" w:rsidP="00BC5708">
      <w:pPr>
        <w:numPr>
          <w:ilvl w:val="1"/>
          <w:numId w:val="7"/>
        </w:numPr>
        <w:contextualSpacing/>
        <w:rPr>
          <w:rFonts w:ascii="Times New Roman" w:hAnsi="Times New Roman"/>
          <w:highlight w:val="yellow"/>
        </w:rPr>
      </w:pPr>
      <w:r w:rsidRPr="00BC5708">
        <w:rPr>
          <w:rFonts w:ascii="Times New Roman" w:hAnsi="Times New Roman"/>
          <w:highlight w:val="yellow"/>
        </w:rPr>
        <w:t>Kitų el. paslaugų (įskaitant, kitų institucijų) panaudojimas</w:t>
      </w:r>
    </w:p>
    <w:p w:rsidR="00BC5708" w:rsidRDefault="00BC5708" w:rsidP="00BC5708">
      <w:pPr>
        <w:numPr>
          <w:ilvl w:val="0"/>
          <w:numId w:val="7"/>
        </w:numPr>
        <w:contextualSpacing/>
        <w:rPr>
          <w:rFonts w:ascii="Times New Roman" w:hAnsi="Times New Roman"/>
          <w:highlight w:val="yellow"/>
        </w:rPr>
      </w:pPr>
      <w:r w:rsidRPr="00BC5708">
        <w:rPr>
          <w:rFonts w:ascii="Times New Roman" w:hAnsi="Times New Roman"/>
          <w:highlight w:val="yellow"/>
        </w:rPr>
        <w:t>Atviri duomenys (jei tinka)</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Nefunkciniai reikalavimai</w:t>
      </w:r>
    </w:p>
    <w:p w:rsidR="00147CF4" w:rsidRPr="00147CF4" w:rsidRDefault="00147CF4" w:rsidP="00147CF4"/>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Architektūra – jeigu modernizuojama/vystoma esama informacinė sistema arba yra kitas rimtas pagrindimas, remiantis pirkimo tikslais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Vienas langelis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Atviros technologijos, atviras kodas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 xml:space="preserve">Platforminiai sprendimai, </w:t>
      </w:r>
      <w:proofErr w:type="spellStart"/>
      <w:r w:rsidRPr="00BC5708">
        <w:rPr>
          <w:rFonts w:ascii="Times New Roman" w:hAnsi="Times New Roman"/>
          <w:highlight w:val="yellow"/>
        </w:rPr>
        <w:t>savaveikės</w:t>
      </w:r>
      <w:proofErr w:type="spellEnd"/>
      <w:r w:rsidRPr="00BC5708">
        <w:rPr>
          <w:rFonts w:ascii="Times New Roman" w:hAnsi="Times New Roman"/>
          <w:highlight w:val="yellow"/>
        </w:rPr>
        <w:t xml:space="preserve"> el. paslaugos</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Tinkamumo naudotojams užtikrinimas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Tinkamumo naudotojams analizės būdai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Tarpiniai ir galutiniai tinkamumo naudotojams testavimai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Tinkamumas neįgaliems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Prieinamumas įvairiais kanalais, įrenginiais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Atvaizdavimo standartai (HTML, XHTML, WML...)</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 xml:space="preserve">Kalbos </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Techninė infrastruktūra – serveriai, sisteminė programinė įranga</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Tiekėjas turi specifikuoti arba tiekėjas turi įtilpti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Techniniai / virtualūs resursai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Sisteminės programinės įrangos licencijos</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Pajėgumas ir greitaveika</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Paslaugos lygio užtikinimas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Stebėsena, Vertinimo rodiklių sistema</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 xml:space="preserve">Rezervinis kopijavimas </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Atstatymas avarijos atveju</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Sauga</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Atsparumas įsilaužimui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Atitikimas BDAR</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Kiti pagrįstai reikalaujami standartai, priemonės</w:t>
      </w:r>
    </w:p>
    <w:p w:rsidR="00BC5708" w:rsidRPr="00BC5708" w:rsidRDefault="00BC5708" w:rsidP="00BC5708">
      <w:pPr>
        <w:numPr>
          <w:ilvl w:val="0"/>
          <w:numId w:val="8"/>
        </w:numPr>
        <w:contextualSpacing/>
        <w:rPr>
          <w:rFonts w:ascii="Times New Roman" w:hAnsi="Times New Roman"/>
          <w:highlight w:val="yellow"/>
        </w:rPr>
      </w:pPr>
      <w:r w:rsidRPr="00BC5708">
        <w:rPr>
          <w:rFonts w:ascii="Times New Roman" w:hAnsi="Times New Roman"/>
          <w:highlight w:val="yellow"/>
        </w:rPr>
        <w:t>Dokumentacijai</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Techninė architektūra</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Diegimo instrukcijos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Administravimo instrukcijos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Vartotojų instrukcijos</w:t>
      </w:r>
    </w:p>
    <w:p w:rsidR="00BC5708" w:rsidRP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Testavimo scenarijai</w:t>
      </w:r>
    </w:p>
    <w:p w:rsidR="00BC5708" w:rsidRDefault="00BC5708" w:rsidP="00BC5708">
      <w:pPr>
        <w:numPr>
          <w:ilvl w:val="1"/>
          <w:numId w:val="8"/>
        </w:numPr>
        <w:contextualSpacing/>
        <w:rPr>
          <w:rFonts w:ascii="Times New Roman" w:hAnsi="Times New Roman"/>
          <w:highlight w:val="yellow"/>
        </w:rPr>
      </w:pPr>
      <w:r w:rsidRPr="00BC5708">
        <w:rPr>
          <w:rFonts w:ascii="Times New Roman" w:hAnsi="Times New Roman"/>
          <w:highlight w:val="yellow"/>
        </w:rPr>
        <w:t>....</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Reikalavimai įgyvendinimo būdui ir etapams</w:t>
      </w:r>
    </w:p>
    <w:p w:rsidR="00147CF4" w:rsidRPr="00147CF4" w:rsidRDefault="00147CF4" w:rsidP="00147CF4"/>
    <w:p w:rsidR="00BC5708" w:rsidRPr="00BC5708" w:rsidRDefault="00BC5708" w:rsidP="00BC5708">
      <w:pPr>
        <w:numPr>
          <w:ilvl w:val="0"/>
          <w:numId w:val="9"/>
        </w:numPr>
        <w:contextualSpacing/>
        <w:rPr>
          <w:rFonts w:ascii="Times New Roman" w:hAnsi="Times New Roman"/>
          <w:highlight w:val="yellow"/>
        </w:rPr>
      </w:pPr>
      <w:r w:rsidRPr="00BC5708">
        <w:rPr>
          <w:rFonts w:ascii="Times New Roman" w:hAnsi="Times New Roman"/>
          <w:highlight w:val="yellow"/>
        </w:rPr>
        <w:t>Modulinis arba iteracinis-</w:t>
      </w:r>
      <w:proofErr w:type="spellStart"/>
      <w:r w:rsidRPr="00BC5708">
        <w:rPr>
          <w:rFonts w:ascii="Times New Roman" w:hAnsi="Times New Roman"/>
          <w:highlight w:val="yellow"/>
        </w:rPr>
        <w:t>inkrementinis</w:t>
      </w:r>
      <w:proofErr w:type="spellEnd"/>
    </w:p>
    <w:p w:rsidR="00BC5708" w:rsidRPr="00BC5708" w:rsidRDefault="00BC5708" w:rsidP="00BC5708">
      <w:pPr>
        <w:numPr>
          <w:ilvl w:val="0"/>
          <w:numId w:val="9"/>
        </w:numPr>
        <w:contextualSpacing/>
        <w:rPr>
          <w:rFonts w:ascii="Times New Roman" w:hAnsi="Times New Roman"/>
          <w:highlight w:val="yellow"/>
        </w:rPr>
      </w:pPr>
      <w:r w:rsidRPr="00BC5708">
        <w:rPr>
          <w:rFonts w:ascii="Times New Roman" w:hAnsi="Times New Roman"/>
          <w:highlight w:val="yellow"/>
        </w:rPr>
        <w:t>Kontrolės taškai</w:t>
      </w:r>
    </w:p>
    <w:p w:rsidR="00BC5708" w:rsidRPr="00BC5708" w:rsidRDefault="00BC5708" w:rsidP="00BC5708">
      <w:pPr>
        <w:numPr>
          <w:ilvl w:val="0"/>
          <w:numId w:val="9"/>
        </w:numPr>
        <w:contextualSpacing/>
        <w:rPr>
          <w:rFonts w:ascii="Times New Roman" w:hAnsi="Times New Roman"/>
          <w:highlight w:val="yellow"/>
        </w:rPr>
      </w:pPr>
      <w:r w:rsidRPr="00BC5708">
        <w:rPr>
          <w:rFonts w:ascii="Times New Roman" w:hAnsi="Times New Roman"/>
          <w:highlight w:val="yellow"/>
        </w:rPr>
        <w:t>Tinkamumo naudotojams užtikrinimo veiklos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Tinkamumo neįgaliems</w:t>
      </w:r>
    </w:p>
    <w:p w:rsidR="00BC5708" w:rsidRPr="00BC5708" w:rsidRDefault="00BC5708" w:rsidP="00BC5708">
      <w:pPr>
        <w:numPr>
          <w:ilvl w:val="0"/>
          <w:numId w:val="9"/>
        </w:numPr>
        <w:contextualSpacing/>
        <w:rPr>
          <w:rFonts w:ascii="Times New Roman" w:hAnsi="Times New Roman"/>
          <w:highlight w:val="yellow"/>
        </w:rPr>
      </w:pPr>
      <w:r w:rsidRPr="00BC5708">
        <w:rPr>
          <w:rFonts w:ascii="Times New Roman" w:hAnsi="Times New Roman"/>
          <w:highlight w:val="yellow"/>
        </w:rPr>
        <w:t xml:space="preserve">Testavimai </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Analizės pateikčių vertinimas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Techninio projektavimo pateikčių vertinimas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Funkciniai - naudotojų ir administratorių</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Funkciniai - integruoti</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Greitaveika</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Sauga, atsparumas įsilaužymui</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Stebėsena, kopijavimas, atstatymas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Programinio kodo ir dokumentacijos priėmimas</w:t>
      </w:r>
    </w:p>
    <w:p w:rsidR="00BC5708" w:rsidRPr="00BC5708" w:rsidRDefault="00BC5708" w:rsidP="00BC5708">
      <w:pPr>
        <w:numPr>
          <w:ilvl w:val="0"/>
          <w:numId w:val="9"/>
        </w:numPr>
        <w:contextualSpacing/>
        <w:rPr>
          <w:rFonts w:ascii="Times New Roman" w:hAnsi="Times New Roman"/>
        </w:rPr>
      </w:pPr>
      <w:r w:rsidRPr="00BC5708">
        <w:rPr>
          <w:rFonts w:ascii="Times New Roman" w:hAnsi="Times New Roman"/>
          <w:highlight w:val="yellow"/>
        </w:rPr>
        <w:t>Migravimas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 xml:space="preserve">Big </w:t>
      </w:r>
      <w:proofErr w:type="spellStart"/>
      <w:r w:rsidRPr="00BC5708">
        <w:rPr>
          <w:rFonts w:ascii="Times New Roman" w:hAnsi="Times New Roman"/>
          <w:highlight w:val="yellow"/>
        </w:rPr>
        <w:t>bang</w:t>
      </w:r>
      <w:proofErr w:type="spellEnd"/>
      <w:r w:rsidRPr="00BC5708">
        <w:rPr>
          <w:rFonts w:ascii="Times New Roman" w:hAnsi="Times New Roman"/>
          <w:highlight w:val="yellow"/>
        </w:rPr>
        <w:t xml:space="preserve"> arba etapais</w:t>
      </w:r>
    </w:p>
    <w:p w:rsidR="00BC5708" w:rsidRPr="00BC5708" w:rsidRDefault="00BC5708" w:rsidP="00BC5708">
      <w:pPr>
        <w:numPr>
          <w:ilvl w:val="1"/>
          <w:numId w:val="9"/>
        </w:numPr>
        <w:contextualSpacing/>
        <w:rPr>
          <w:rFonts w:ascii="Times New Roman" w:hAnsi="Times New Roman"/>
          <w:highlight w:val="yellow"/>
        </w:rPr>
      </w:pPr>
      <w:r w:rsidRPr="00BC5708">
        <w:rPr>
          <w:rFonts w:ascii="Times New Roman" w:hAnsi="Times New Roman"/>
          <w:highlight w:val="yellow"/>
        </w:rPr>
        <w:t>Lygiagretus sistemų eksploatavimas, jeigu tinka</w:t>
      </w:r>
    </w:p>
    <w:p w:rsidR="00BC5708" w:rsidRPr="00BC5708" w:rsidRDefault="00BC5708" w:rsidP="00BC5708">
      <w:pPr>
        <w:numPr>
          <w:ilvl w:val="0"/>
          <w:numId w:val="9"/>
        </w:numPr>
        <w:contextualSpacing/>
        <w:rPr>
          <w:rFonts w:ascii="Times New Roman" w:hAnsi="Times New Roman"/>
        </w:rPr>
      </w:pPr>
      <w:r w:rsidRPr="00BC5708">
        <w:rPr>
          <w:rFonts w:ascii="Times New Roman" w:hAnsi="Times New Roman"/>
          <w:highlight w:val="yellow"/>
        </w:rPr>
        <w:t>Bandomoji eksploatacija</w:t>
      </w:r>
    </w:p>
    <w:p w:rsidR="00BC5708" w:rsidRPr="00147CF4" w:rsidRDefault="00BC5708" w:rsidP="00BC5708">
      <w:pPr>
        <w:numPr>
          <w:ilvl w:val="0"/>
          <w:numId w:val="9"/>
        </w:numPr>
        <w:contextualSpacing/>
        <w:rPr>
          <w:rFonts w:ascii="Times New Roman" w:hAnsi="Times New Roman"/>
        </w:rPr>
      </w:pPr>
      <w:r w:rsidRPr="00BC5708">
        <w:rPr>
          <w:rFonts w:ascii="Times New Roman" w:hAnsi="Times New Roman"/>
          <w:highlight w:val="yellow"/>
        </w:rPr>
        <w:t>Pridavimas eksploatacijai</w:t>
      </w:r>
    </w:p>
    <w:p w:rsidR="00147CF4" w:rsidRPr="00BC5708" w:rsidRDefault="00147CF4" w:rsidP="00147CF4">
      <w:pPr>
        <w:contextualSpacing/>
        <w:rPr>
          <w:rFonts w:ascii="Times New Roman" w:hAnsi="Times New Roman"/>
        </w:rPr>
      </w:pPr>
    </w:p>
    <w:p w:rsidR="00BC5708" w:rsidRDefault="00BC5708" w:rsidP="00BC5708">
      <w:pPr>
        <w:pStyle w:val="Heading1"/>
      </w:pPr>
      <w:r w:rsidRPr="00BC5708">
        <w:t>Reikalavimai papildomų vystymo paslaugų teikimui</w:t>
      </w:r>
    </w:p>
    <w:p w:rsidR="00147CF4" w:rsidRPr="00147CF4" w:rsidRDefault="00147CF4" w:rsidP="00147CF4"/>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Pakeitimų prašymų analizė, vertinimas ir pasiūlymas</w:t>
      </w:r>
    </w:p>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Pakeitimų prašymų užsakymų tvirtinimas</w:t>
      </w:r>
    </w:p>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Užsakytų pakeitimų prašymų įgyvendinimas (iteracinis-</w:t>
      </w:r>
      <w:proofErr w:type="spellStart"/>
      <w:r w:rsidRPr="00BC5708">
        <w:rPr>
          <w:rFonts w:ascii="Times New Roman" w:hAnsi="Times New Roman"/>
          <w:highlight w:val="yellow"/>
        </w:rPr>
        <w:t>inkrementinis</w:t>
      </w:r>
      <w:proofErr w:type="spellEnd"/>
      <w:r w:rsidRPr="00BC5708">
        <w:rPr>
          <w:rFonts w:ascii="Times New Roman" w:hAnsi="Times New Roman"/>
          <w:highlight w:val="yellow"/>
        </w:rPr>
        <w:t xml:space="preserve"> ar kitas)</w:t>
      </w:r>
    </w:p>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Užsakytų pakeitimų prašymų priėmimas ir apmokėjimas (tarpinis, gale)</w:t>
      </w:r>
    </w:p>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Pakeitimų prašymų įtaka (neturi būti) priežiūros paslaugoms</w:t>
      </w:r>
    </w:p>
    <w:p w:rsid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 xml:space="preserve">Vystymo paslaugų rezervo kontrolė (ataskaitos) </w:t>
      </w:r>
    </w:p>
    <w:p w:rsidR="00147CF4" w:rsidRPr="00BC5708" w:rsidRDefault="00147CF4" w:rsidP="00147CF4">
      <w:pPr>
        <w:contextualSpacing/>
        <w:rPr>
          <w:rFonts w:ascii="Times New Roman" w:hAnsi="Times New Roman"/>
          <w:highlight w:val="yellow"/>
        </w:rPr>
      </w:pPr>
    </w:p>
    <w:p w:rsidR="00BC5708" w:rsidRDefault="00BC5708" w:rsidP="00BC5708">
      <w:pPr>
        <w:pStyle w:val="Heading1"/>
      </w:pPr>
      <w:r w:rsidRPr="00BC5708">
        <w:t>Reikalavimai priežiūros paslaugų teikimui</w:t>
      </w:r>
    </w:p>
    <w:p w:rsidR="00147CF4" w:rsidRPr="00147CF4" w:rsidRDefault="00147CF4" w:rsidP="00147CF4"/>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Intensyvi priežiūra pirmu laikotarpiu</w:t>
      </w:r>
    </w:p>
    <w:p w:rsidR="00BC5708" w:rsidRPr="00BC5708" w:rsidRDefault="00BC5708" w:rsidP="00BC5708">
      <w:pPr>
        <w:numPr>
          <w:ilvl w:val="0"/>
          <w:numId w:val="6"/>
        </w:numPr>
        <w:contextualSpacing/>
        <w:rPr>
          <w:rFonts w:ascii="Times New Roman" w:hAnsi="Times New Roman"/>
          <w:highlight w:val="yellow"/>
        </w:rPr>
      </w:pPr>
      <w:r w:rsidRPr="00BC5708">
        <w:rPr>
          <w:rFonts w:ascii="Times New Roman" w:hAnsi="Times New Roman"/>
          <w:highlight w:val="yellow"/>
        </w:rPr>
        <w:t>Dalinė priežiūra, paleidus eksploatacijai informacinės sistemos dalį – modulį, ribotą funkcionalumą</w:t>
      </w:r>
    </w:p>
    <w:p w:rsidR="008D6A50" w:rsidRPr="00147CF4" w:rsidRDefault="00BC5708" w:rsidP="00147CF4">
      <w:pPr>
        <w:numPr>
          <w:ilvl w:val="0"/>
          <w:numId w:val="6"/>
        </w:numPr>
        <w:contextualSpacing/>
        <w:rPr>
          <w:rFonts w:ascii="Times New Roman" w:hAnsi="Times New Roman"/>
          <w:highlight w:val="yellow"/>
        </w:rPr>
      </w:pPr>
      <w:r w:rsidRPr="00BC5708">
        <w:rPr>
          <w:rFonts w:ascii="Times New Roman" w:hAnsi="Times New Roman"/>
          <w:highlight w:val="yellow"/>
        </w:rPr>
        <w:t>Įprasta priežiūra</w:t>
      </w:r>
    </w:p>
    <w:sectPr w:rsidR="008D6A50" w:rsidRPr="00147C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7500"/>
    <w:multiLevelType w:val="hybridMultilevel"/>
    <w:tmpl w:val="8B2A2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931EC5"/>
    <w:multiLevelType w:val="hybridMultilevel"/>
    <w:tmpl w:val="5CF0FF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014E4D"/>
    <w:multiLevelType w:val="hybridMultilevel"/>
    <w:tmpl w:val="2E224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587A10"/>
    <w:multiLevelType w:val="hybridMultilevel"/>
    <w:tmpl w:val="7D42B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856632"/>
    <w:multiLevelType w:val="hybridMultilevel"/>
    <w:tmpl w:val="B85AE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AE45FB1"/>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77A3522"/>
    <w:multiLevelType w:val="hybridMultilevel"/>
    <w:tmpl w:val="15746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D973B9"/>
    <w:multiLevelType w:val="hybridMultilevel"/>
    <w:tmpl w:val="A17EEB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B7023CB"/>
    <w:multiLevelType w:val="hybridMultilevel"/>
    <w:tmpl w:val="A5A2E0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F5583E"/>
    <w:multiLevelType w:val="hybridMultilevel"/>
    <w:tmpl w:val="08643B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2"/>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08"/>
    <w:rsid w:val="00051C6D"/>
    <w:rsid w:val="00147CF4"/>
    <w:rsid w:val="00262CA6"/>
    <w:rsid w:val="002F7BA8"/>
    <w:rsid w:val="005F7B4B"/>
    <w:rsid w:val="00BC5708"/>
    <w:rsid w:val="00EA51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A96D"/>
  <w15:chartTrackingRefBased/>
  <w15:docId w15:val="{D87F618C-9C05-4470-8DC1-2503BE1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708"/>
    <w:pPr>
      <w:keepNext/>
      <w:keepLines/>
      <w:numPr>
        <w:numId w:val="10"/>
      </w:numPr>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semiHidden/>
    <w:unhideWhenUsed/>
    <w:qFormat/>
    <w:rsid w:val="002F7BA8"/>
    <w:pPr>
      <w:keepNext/>
      <w:keepLines/>
      <w:numPr>
        <w:ilvl w:val="1"/>
        <w:numId w:val="10"/>
      </w:numPr>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BC5708"/>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5708"/>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5708"/>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5708"/>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5708"/>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570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70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CA6"/>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262CA6"/>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BC570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2F7BA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C57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57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57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57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57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57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570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 Kovaliov</dc:creator>
  <cp:keywords/>
  <dc:description/>
  <cp:lastModifiedBy>Mindaugas Girdvainis</cp:lastModifiedBy>
  <cp:revision>1</cp:revision>
  <dcterms:created xsi:type="dcterms:W3CDTF">2019-03-11T10:14:00Z</dcterms:created>
  <dcterms:modified xsi:type="dcterms:W3CDTF">2019-03-11T10:14:00Z</dcterms:modified>
</cp:coreProperties>
</file>